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9C6" w:rsidRPr="00D579C6" w:rsidRDefault="00D579C6" w:rsidP="003A3094">
      <w:pPr>
        <w:spacing w:after="120"/>
        <w:jc w:val="center"/>
        <w:rPr>
          <w:b/>
          <w:sz w:val="32"/>
          <w:u w:val="single"/>
        </w:rPr>
      </w:pPr>
      <w:bookmarkStart w:id="0" w:name="_GoBack"/>
      <w:bookmarkEnd w:id="0"/>
      <w:r w:rsidRPr="00D579C6">
        <w:rPr>
          <w:b/>
          <w:sz w:val="36"/>
          <w:u w:val="single"/>
        </w:rPr>
        <w:t>[ORGANISATION NAME]</w:t>
      </w:r>
    </w:p>
    <w:p w:rsidR="00996DE4" w:rsidRDefault="00996DE4" w:rsidP="003A3094">
      <w:pPr>
        <w:spacing w:after="120"/>
        <w:jc w:val="center"/>
        <w:rPr>
          <w:b/>
          <w:sz w:val="32"/>
        </w:rPr>
      </w:pPr>
      <w:r w:rsidRPr="00996DE4">
        <w:rPr>
          <w:b/>
          <w:sz w:val="32"/>
        </w:rPr>
        <w:t xml:space="preserve">Information Security Incident Response – </w:t>
      </w:r>
      <w:r w:rsidR="00B056CD">
        <w:rPr>
          <w:b/>
          <w:sz w:val="32"/>
        </w:rPr>
        <w:t>Record of work</w:t>
      </w:r>
    </w:p>
    <w:p w:rsidR="00D277FE" w:rsidRDefault="00996DE4" w:rsidP="003A3094">
      <w:pPr>
        <w:spacing w:after="120"/>
        <w:rPr>
          <w:sz w:val="24"/>
        </w:rPr>
      </w:pPr>
      <w:r w:rsidRPr="00996DE4">
        <w:rPr>
          <w:sz w:val="24"/>
        </w:rPr>
        <w:t xml:space="preserve">This document provides the documented evidence and audit trail of a reported information security incident. It is designed to operate alongside </w:t>
      </w:r>
      <w:r w:rsidR="00A46520">
        <w:rPr>
          <w:sz w:val="24"/>
        </w:rPr>
        <w:t>the organisation’s Data Protection Policy, and Data Protection Incident Reporting Processes.</w:t>
      </w:r>
    </w:p>
    <w:p w:rsidR="00996DE4" w:rsidRDefault="00505168" w:rsidP="003A3094">
      <w:pPr>
        <w:spacing w:after="120"/>
        <w:rPr>
          <w:sz w:val="24"/>
        </w:rPr>
      </w:pPr>
      <w:r>
        <w:rPr>
          <w:sz w:val="24"/>
        </w:rPr>
        <w:t>This form i</w:t>
      </w:r>
      <w:r w:rsidR="00996DE4" w:rsidRPr="00996DE4">
        <w:rPr>
          <w:sz w:val="24"/>
        </w:rPr>
        <w:t>s to be completed by the Incident Handler</w:t>
      </w:r>
      <w:r>
        <w:rPr>
          <w:sz w:val="24"/>
        </w:rPr>
        <w:t>(s)</w:t>
      </w:r>
      <w:r w:rsidR="00996DE4" w:rsidRPr="00996DE4">
        <w:rPr>
          <w:sz w:val="24"/>
        </w:rPr>
        <w:t xml:space="preserve"> in </w:t>
      </w:r>
      <w:r w:rsidR="00A46520">
        <w:rPr>
          <w:sz w:val="24"/>
        </w:rPr>
        <w:t>the organisation</w:t>
      </w:r>
      <w:r>
        <w:rPr>
          <w:sz w:val="24"/>
        </w:rPr>
        <w:t>.</w:t>
      </w:r>
    </w:p>
    <w:p w:rsidR="00996DE4" w:rsidRPr="00996DE4" w:rsidRDefault="00996DE4" w:rsidP="00996DE4">
      <w:pPr>
        <w:rPr>
          <w:sz w:val="24"/>
        </w:rPr>
      </w:pPr>
      <w:r>
        <w:rPr>
          <w:sz w:val="24"/>
        </w:rPr>
        <w:t xml:space="preserve">The incident may require additional input and support from other organisations such as </w:t>
      </w:r>
      <w:r w:rsidR="00A46520">
        <w:rPr>
          <w:sz w:val="24"/>
        </w:rPr>
        <w:t>ICT, the organisation’s Data Protection Officer, and potentially other specialist bodies (e.g. National Cyber Security Centre – NCSC)</w:t>
      </w:r>
    </w:p>
    <w:tbl>
      <w:tblPr>
        <w:tblStyle w:val="TableGrid"/>
        <w:tblW w:w="9067" w:type="dxa"/>
        <w:tblLayout w:type="fixed"/>
        <w:tblLook w:val="04A0" w:firstRow="1" w:lastRow="0" w:firstColumn="1" w:lastColumn="0" w:noHBand="0" w:noVBand="1"/>
      </w:tblPr>
      <w:tblGrid>
        <w:gridCol w:w="4106"/>
        <w:gridCol w:w="4961"/>
      </w:tblGrid>
      <w:tr w:rsidR="00A46520" w:rsidTr="005F1914">
        <w:tc>
          <w:tcPr>
            <w:tcW w:w="4106" w:type="dxa"/>
            <w:shd w:val="clear" w:color="auto" w:fill="BFBFBF" w:themeFill="background1" w:themeFillShade="BF"/>
          </w:tcPr>
          <w:p w:rsidR="00A46520" w:rsidRDefault="00D579C6" w:rsidP="00996DE4">
            <w:pPr>
              <w:rPr>
                <w:b/>
                <w:sz w:val="24"/>
              </w:rPr>
            </w:pPr>
            <w:r>
              <w:rPr>
                <w:b/>
                <w:sz w:val="24"/>
              </w:rPr>
              <w:t>Incident</w:t>
            </w:r>
            <w:r w:rsidR="00A46520">
              <w:rPr>
                <w:b/>
                <w:sz w:val="24"/>
              </w:rPr>
              <w:t xml:space="preserve"> No:</w:t>
            </w:r>
          </w:p>
        </w:tc>
        <w:tc>
          <w:tcPr>
            <w:tcW w:w="4961" w:type="dxa"/>
          </w:tcPr>
          <w:p w:rsidR="00A46520" w:rsidRPr="007C75F3" w:rsidRDefault="00A46520" w:rsidP="00576D36">
            <w:pPr>
              <w:rPr>
                <w:b/>
                <w:sz w:val="24"/>
              </w:rPr>
            </w:pPr>
          </w:p>
        </w:tc>
      </w:tr>
      <w:tr w:rsidR="00A46520" w:rsidTr="00BA2299">
        <w:tc>
          <w:tcPr>
            <w:tcW w:w="4106" w:type="dxa"/>
            <w:shd w:val="clear" w:color="auto" w:fill="BFBFBF" w:themeFill="background1" w:themeFillShade="BF"/>
          </w:tcPr>
          <w:p w:rsidR="00A46520" w:rsidRDefault="00A46520" w:rsidP="00996DE4">
            <w:pPr>
              <w:rPr>
                <w:b/>
                <w:sz w:val="24"/>
              </w:rPr>
            </w:pPr>
            <w:r>
              <w:rPr>
                <w:b/>
                <w:sz w:val="24"/>
              </w:rPr>
              <w:t>Severity (H, M, L):</w:t>
            </w:r>
          </w:p>
        </w:tc>
        <w:tc>
          <w:tcPr>
            <w:tcW w:w="4961" w:type="dxa"/>
          </w:tcPr>
          <w:p w:rsidR="00A46520" w:rsidRPr="007C75F3" w:rsidRDefault="00A46520" w:rsidP="00576D36">
            <w:pPr>
              <w:rPr>
                <w:b/>
                <w:sz w:val="24"/>
              </w:rPr>
            </w:pPr>
          </w:p>
        </w:tc>
      </w:tr>
      <w:tr w:rsidR="00576D36" w:rsidTr="00A46520">
        <w:tc>
          <w:tcPr>
            <w:tcW w:w="4106" w:type="dxa"/>
            <w:shd w:val="clear" w:color="auto" w:fill="BFBFBF" w:themeFill="background1" w:themeFillShade="BF"/>
          </w:tcPr>
          <w:p w:rsidR="00576D36" w:rsidRDefault="00576D36" w:rsidP="00A46520">
            <w:pPr>
              <w:rPr>
                <w:b/>
                <w:sz w:val="24"/>
              </w:rPr>
            </w:pPr>
            <w:r>
              <w:rPr>
                <w:b/>
                <w:sz w:val="24"/>
              </w:rPr>
              <w:t xml:space="preserve">Basis for </w:t>
            </w:r>
            <w:r w:rsidR="00A46520">
              <w:rPr>
                <w:b/>
                <w:sz w:val="24"/>
              </w:rPr>
              <w:t xml:space="preserve">initial </w:t>
            </w:r>
            <w:r>
              <w:rPr>
                <w:b/>
                <w:sz w:val="24"/>
              </w:rPr>
              <w:t xml:space="preserve">severity </w:t>
            </w:r>
            <w:r w:rsidR="00A46520">
              <w:rPr>
                <w:b/>
                <w:sz w:val="24"/>
              </w:rPr>
              <w:t>rating:</w:t>
            </w:r>
          </w:p>
        </w:tc>
        <w:tc>
          <w:tcPr>
            <w:tcW w:w="4961" w:type="dxa"/>
          </w:tcPr>
          <w:p w:rsidR="00576D36" w:rsidRPr="007C75F3" w:rsidRDefault="00576D36" w:rsidP="00576D36">
            <w:pPr>
              <w:rPr>
                <w:b/>
                <w:sz w:val="24"/>
              </w:rPr>
            </w:pPr>
          </w:p>
        </w:tc>
      </w:tr>
      <w:tr w:rsidR="00576D36" w:rsidTr="00A46520">
        <w:tc>
          <w:tcPr>
            <w:tcW w:w="4106" w:type="dxa"/>
            <w:shd w:val="clear" w:color="auto" w:fill="BFBFBF" w:themeFill="background1" w:themeFillShade="BF"/>
          </w:tcPr>
          <w:p w:rsidR="00576D36" w:rsidRDefault="00A46520" w:rsidP="00996DE4">
            <w:pPr>
              <w:rPr>
                <w:b/>
                <w:sz w:val="24"/>
              </w:rPr>
            </w:pPr>
            <w:r>
              <w:rPr>
                <w:b/>
                <w:sz w:val="24"/>
              </w:rPr>
              <w:t>Incident</w:t>
            </w:r>
            <w:r w:rsidR="00576D36">
              <w:rPr>
                <w:b/>
                <w:sz w:val="24"/>
              </w:rPr>
              <w:t xml:space="preserve"> Handler(s):</w:t>
            </w:r>
          </w:p>
        </w:tc>
        <w:tc>
          <w:tcPr>
            <w:tcW w:w="4961" w:type="dxa"/>
          </w:tcPr>
          <w:p w:rsidR="00576D36" w:rsidRPr="00065821" w:rsidRDefault="00576D36" w:rsidP="00996DE4">
            <w:pPr>
              <w:rPr>
                <w:sz w:val="24"/>
              </w:rPr>
            </w:pPr>
          </w:p>
        </w:tc>
      </w:tr>
      <w:tr w:rsidR="00A46520" w:rsidTr="00BD25C5">
        <w:tc>
          <w:tcPr>
            <w:tcW w:w="4106" w:type="dxa"/>
            <w:shd w:val="clear" w:color="auto" w:fill="BFBFBF" w:themeFill="background1" w:themeFillShade="BF"/>
          </w:tcPr>
          <w:p w:rsidR="00A46520" w:rsidRDefault="00A46520" w:rsidP="00A46520">
            <w:pPr>
              <w:rPr>
                <w:b/>
                <w:sz w:val="24"/>
              </w:rPr>
            </w:pPr>
            <w:r>
              <w:rPr>
                <w:b/>
                <w:sz w:val="24"/>
              </w:rPr>
              <w:t>Date reported to organisation:</w:t>
            </w:r>
          </w:p>
        </w:tc>
        <w:tc>
          <w:tcPr>
            <w:tcW w:w="4961" w:type="dxa"/>
          </w:tcPr>
          <w:p w:rsidR="00A46520" w:rsidRPr="00065821" w:rsidRDefault="00A46520" w:rsidP="00996DE4">
            <w:pPr>
              <w:rPr>
                <w:sz w:val="24"/>
              </w:rPr>
            </w:pPr>
          </w:p>
        </w:tc>
      </w:tr>
      <w:tr w:rsidR="00A46520" w:rsidTr="004058F4">
        <w:tc>
          <w:tcPr>
            <w:tcW w:w="4106" w:type="dxa"/>
            <w:shd w:val="clear" w:color="auto" w:fill="BFBFBF" w:themeFill="background1" w:themeFillShade="BF"/>
          </w:tcPr>
          <w:p w:rsidR="00A46520" w:rsidRDefault="00A46520" w:rsidP="00A46520">
            <w:pPr>
              <w:rPr>
                <w:b/>
                <w:sz w:val="24"/>
              </w:rPr>
            </w:pPr>
            <w:r>
              <w:rPr>
                <w:b/>
                <w:sz w:val="24"/>
              </w:rPr>
              <w:t>By whom:</w:t>
            </w:r>
          </w:p>
        </w:tc>
        <w:tc>
          <w:tcPr>
            <w:tcW w:w="4961" w:type="dxa"/>
          </w:tcPr>
          <w:p w:rsidR="00A46520" w:rsidRPr="00065821" w:rsidRDefault="00A46520" w:rsidP="00996DE4">
            <w:pPr>
              <w:rPr>
                <w:sz w:val="24"/>
              </w:rPr>
            </w:pPr>
          </w:p>
        </w:tc>
      </w:tr>
      <w:tr w:rsidR="00A46520" w:rsidTr="0059039C">
        <w:tc>
          <w:tcPr>
            <w:tcW w:w="4106" w:type="dxa"/>
            <w:shd w:val="clear" w:color="auto" w:fill="BFBFBF" w:themeFill="background1" w:themeFillShade="BF"/>
          </w:tcPr>
          <w:p w:rsidR="00A46520" w:rsidRDefault="00A46520" w:rsidP="00A46520">
            <w:pPr>
              <w:rPr>
                <w:b/>
                <w:sz w:val="24"/>
              </w:rPr>
            </w:pPr>
            <w:r>
              <w:rPr>
                <w:b/>
                <w:sz w:val="24"/>
              </w:rPr>
              <w:t>Date reported to Incident handler:</w:t>
            </w:r>
          </w:p>
        </w:tc>
        <w:tc>
          <w:tcPr>
            <w:tcW w:w="4961" w:type="dxa"/>
          </w:tcPr>
          <w:p w:rsidR="00A46520" w:rsidRPr="00065821" w:rsidRDefault="00A46520" w:rsidP="00A46520">
            <w:pPr>
              <w:rPr>
                <w:sz w:val="24"/>
              </w:rPr>
            </w:pPr>
          </w:p>
        </w:tc>
      </w:tr>
      <w:tr w:rsidR="00A46520" w:rsidTr="0011202C">
        <w:tc>
          <w:tcPr>
            <w:tcW w:w="4106" w:type="dxa"/>
            <w:shd w:val="clear" w:color="auto" w:fill="BFBFBF" w:themeFill="background1" w:themeFillShade="BF"/>
          </w:tcPr>
          <w:p w:rsidR="00A46520" w:rsidRDefault="00A46520" w:rsidP="00A46520">
            <w:pPr>
              <w:rPr>
                <w:b/>
                <w:sz w:val="24"/>
              </w:rPr>
            </w:pPr>
            <w:r>
              <w:rPr>
                <w:b/>
                <w:sz w:val="24"/>
              </w:rPr>
              <w:t>By whom:</w:t>
            </w:r>
          </w:p>
        </w:tc>
        <w:tc>
          <w:tcPr>
            <w:tcW w:w="4961" w:type="dxa"/>
          </w:tcPr>
          <w:p w:rsidR="00A46520" w:rsidRPr="00065821" w:rsidRDefault="00A46520" w:rsidP="00A46520">
            <w:pPr>
              <w:rPr>
                <w:sz w:val="24"/>
              </w:rPr>
            </w:pPr>
          </w:p>
        </w:tc>
      </w:tr>
      <w:tr w:rsidR="00A46520" w:rsidTr="0011202C">
        <w:tc>
          <w:tcPr>
            <w:tcW w:w="4106" w:type="dxa"/>
            <w:shd w:val="clear" w:color="auto" w:fill="BFBFBF" w:themeFill="background1" w:themeFillShade="BF"/>
          </w:tcPr>
          <w:p w:rsidR="00A46520" w:rsidRDefault="00A46520" w:rsidP="00A46520">
            <w:pPr>
              <w:rPr>
                <w:b/>
                <w:sz w:val="24"/>
              </w:rPr>
            </w:pPr>
            <w:r>
              <w:rPr>
                <w:b/>
                <w:sz w:val="24"/>
              </w:rPr>
              <w:t>Date incident occurred:</w:t>
            </w:r>
          </w:p>
        </w:tc>
        <w:tc>
          <w:tcPr>
            <w:tcW w:w="4961" w:type="dxa"/>
          </w:tcPr>
          <w:p w:rsidR="00A46520" w:rsidRPr="00065821" w:rsidRDefault="00A46520" w:rsidP="00A46520">
            <w:pPr>
              <w:rPr>
                <w:sz w:val="24"/>
              </w:rPr>
            </w:pPr>
          </w:p>
        </w:tc>
      </w:tr>
      <w:tr w:rsidR="00A46520" w:rsidTr="0011202C">
        <w:tc>
          <w:tcPr>
            <w:tcW w:w="4106" w:type="dxa"/>
            <w:shd w:val="clear" w:color="auto" w:fill="BFBFBF" w:themeFill="background1" w:themeFillShade="BF"/>
          </w:tcPr>
          <w:p w:rsidR="00A46520" w:rsidRDefault="00A46520" w:rsidP="00A46520">
            <w:pPr>
              <w:rPr>
                <w:b/>
                <w:sz w:val="24"/>
              </w:rPr>
            </w:pPr>
            <w:r>
              <w:rPr>
                <w:b/>
                <w:sz w:val="24"/>
              </w:rPr>
              <w:t>Senior Management notified (date):</w:t>
            </w:r>
          </w:p>
        </w:tc>
        <w:tc>
          <w:tcPr>
            <w:tcW w:w="4961" w:type="dxa"/>
          </w:tcPr>
          <w:p w:rsidR="00A46520" w:rsidRPr="00065821" w:rsidRDefault="00A46520" w:rsidP="00A46520">
            <w:pPr>
              <w:rPr>
                <w:sz w:val="24"/>
              </w:rPr>
            </w:pPr>
          </w:p>
        </w:tc>
      </w:tr>
    </w:tbl>
    <w:p w:rsidR="00996DE4" w:rsidRPr="003A3094" w:rsidRDefault="00996DE4" w:rsidP="00996DE4">
      <w:pPr>
        <w:spacing w:after="0"/>
        <w:rPr>
          <w:sz w:val="18"/>
        </w:rPr>
      </w:pPr>
    </w:p>
    <w:tbl>
      <w:tblPr>
        <w:tblStyle w:val="TableGrid"/>
        <w:tblW w:w="0" w:type="auto"/>
        <w:tblLook w:val="04A0" w:firstRow="1" w:lastRow="0" w:firstColumn="1" w:lastColumn="0" w:noHBand="0" w:noVBand="1"/>
      </w:tblPr>
      <w:tblGrid>
        <w:gridCol w:w="2263"/>
        <w:gridCol w:w="6804"/>
      </w:tblGrid>
      <w:tr w:rsidR="007C75F3" w:rsidTr="007C75F3">
        <w:tc>
          <w:tcPr>
            <w:tcW w:w="2263" w:type="dxa"/>
            <w:shd w:val="clear" w:color="auto" w:fill="BFBFBF" w:themeFill="background1" w:themeFillShade="BF"/>
          </w:tcPr>
          <w:p w:rsidR="007C75F3" w:rsidRPr="007C75F3" w:rsidRDefault="007C75F3" w:rsidP="00996DE4">
            <w:pPr>
              <w:rPr>
                <w:b/>
              </w:rPr>
            </w:pPr>
            <w:r w:rsidRPr="007C75F3">
              <w:rPr>
                <w:b/>
                <w:sz w:val="24"/>
              </w:rPr>
              <w:t>Summary of breach:</w:t>
            </w:r>
          </w:p>
        </w:tc>
        <w:tc>
          <w:tcPr>
            <w:tcW w:w="6804" w:type="dxa"/>
          </w:tcPr>
          <w:p w:rsidR="007C75F3" w:rsidRDefault="007C75F3" w:rsidP="00996DE4"/>
          <w:p w:rsidR="00A46520" w:rsidRDefault="00A46520" w:rsidP="00996DE4"/>
          <w:p w:rsidR="00A46520" w:rsidRDefault="00A46520" w:rsidP="00996DE4"/>
          <w:p w:rsidR="00A46520" w:rsidRDefault="00A46520" w:rsidP="00996DE4"/>
        </w:tc>
      </w:tr>
    </w:tbl>
    <w:p w:rsidR="007C75F3" w:rsidRPr="003A3094" w:rsidRDefault="007C75F3" w:rsidP="00996DE4">
      <w:pPr>
        <w:spacing w:after="0"/>
        <w:rPr>
          <w:sz w:val="18"/>
        </w:rPr>
      </w:pPr>
    </w:p>
    <w:tbl>
      <w:tblPr>
        <w:tblStyle w:val="TableGrid"/>
        <w:tblW w:w="0" w:type="auto"/>
        <w:jc w:val="center"/>
        <w:tblLook w:val="04A0" w:firstRow="1" w:lastRow="0" w:firstColumn="1" w:lastColumn="0" w:noHBand="0" w:noVBand="1"/>
      </w:tblPr>
      <w:tblGrid>
        <w:gridCol w:w="3823"/>
        <w:gridCol w:w="5193"/>
      </w:tblGrid>
      <w:tr w:rsidR="00996DE4" w:rsidTr="00065821">
        <w:trPr>
          <w:jc w:val="center"/>
        </w:trPr>
        <w:tc>
          <w:tcPr>
            <w:tcW w:w="3823" w:type="dxa"/>
            <w:shd w:val="clear" w:color="auto" w:fill="BFBFBF" w:themeFill="background1" w:themeFillShade="BF"/>
          </w:tcPr>
          <w:p w:rsidR="00996DE4" w:rsidRDefault="00996DE4" w:rsidP="00B056CD">
            <w:pPr>
              <w:jc w:val="center"/>
              <w:rPr>
                <w:b/>
                <w:sz w:val="24"/>
              </w:rPr>
            </w:pPr>
            <w:r>
              <w:rPr>
                <w:b/>
                <w:sz w:val="24"/>
              </w:rPr>
              <w:t>Incident Response Phase</w:t>
            </w:r>
          </w:p>
        </w:tc>
        <w:tc>
          <w:tcPr>
            <w:tcW w:w="5193" w:type="dxa"/>
            <w:shd w:val="clear" w:color="auto" w:fill="BFBFBF" w:themeFill="background1" w:themeFillShade="BF"/>
          </w:tcPr>
          <w:p w:rsidR="00996DE4" w:rsidRDefault="00996DE4" w:rsidP="00996DE4">
            <w:pPr>
              <w:rPr>
                <w:b/>
                <w:sz w:val="24"/>
              </w:rPr>
            </w:pPr>
            <w:r>
              <w:rPr>
                <w:b/>
                <w:sz w:val="24"/>
              </w:rPr>
              <w:t>Evidence/Actions Taken</w:t>
            </w:r>
          </w:p>
        </w:tc>
      </w:tr>
      <w:tr w:rsidR="00996DE4" w:rsidTr="00D47A93">
        <w:trPr>
          <w:jc w:val="center"/>
        </w:trPr>
        <w:tc>
          <w:tcPr>
            <w:tcW w:w="3823" w:type="dxa"/>
            <w:shd w:val="clear" w:color="auto" w:fill="9CC2E5" w:themeFill="accent1" w:themeFillTint="99"/>
            <w:vAlign w:val="center"/>
          </w:tcPr>
          <w:p w:rsidR="00996DE4" w:rsidRDefault="00996DE4" w:rsidP="00065821">
            <w:pPr>
              <w:jc w:val="center"/>
              <w:rPr>
                <w:b/>
                <w:sz w:val="24"/>
              </w:rPr>
            </w:pPr>
            <w:r>
              <w:rPr>
                <w:b/>
                <w:sz w:val="24"/>
              </w:rPr>
              <w:t>1. Preparation</w:t>
            </w:r>
          </w:p>
          <w:p w:rsidR="00B056CD" w:rsidRPr="003A3094" w:rsidRDefault="00B056CD" w:rsidP="00065821">
            <w:pPr>
              <w:jc w:val="center"/>
              <w:rPr>
                <w:b/>
                <w:sz w:val="12"/>
                <w:szCs w:val="12"/>
              </w:rPr>
            </w:pPr>
          </w:p>
          <w:p w:rsidR="00090612" w:rsidRPr="00090612" w:rsidRDefault="00090612" w:rsidP="00505168">
            <w:pPr>
              <w:jc w:val="center"/>
              <w:rPr>
                <w:b/>
                <w:sz w:val="24"/>
              </w:rPr>
            </w:pPr>
            <w:r w:rsidRPr="00090612">
              <w:rPr>
                <w:rFonts w:cs="Helvetica"/>
                <w:color w:val="565656"/>
                <w:lang w:val="en-US"/>
              </w:rPr>
              <w:t>Gather and learn the necessary tools, become familiar with your environment</w:t>
            </w:r>
          </w:p>
        </w:tc>
        <w:tc>
          <w:tcPr>
            <w:tcW w:w="5193" w:type="dxa"/>
            <w:vAlign w:val="center"/>
          </w:tcPr>
          <w:p w:rsidR="00653864" w:rsidRPr="00D47A93" w:rsidRDefault="00D47A93" w:rsidP="00D47A93">
            <w:pPr>
              <w:rPr>
                <w:lang w:val="en-US" w:eastAsia="en-GB"/>
              </w:rPr>
            </w:pPr>
            <w:r>
              <w:t xml:space="preserve">See </w:t>
            </w:r>
            <w:hyperlink w:anchor="ApA" w:history="1">
              <w:r w:rsidRPr="00D47A93">
                <w:rPr>
                  <w:rStyle w:val="Hyperlink"/>
                </w:rPr>
                <w:t>Appendix A</w:t>
              </w:r>
            </w:hyperlink>
          </w:p>
        </w:tc>
      </w:tr>
      <w:tr w:rsidR="00996DE4" w:rsidTr="00D47A93">
        <w:trPr>
          <w:jc w:val="center"/>
        </w:trPr>
        <w:tc>
          <w:tcPr>
            <w:tcW w:w="3823" w:type="dxa"/>
            <w:shd w:val="clear" w:color="auto" w:fill="F4B083" w:themeFill="accent2" w:themeFillTint="99"/>
            <w:vAlign w:val="center"/>
          </w:tcPr>
          <w:p w:rsidR="00996DE4" w:rsidRDefault="00996DE4" w:rsidP="00065821">
            <w:pPr>
              <w:jc w:val="center"/>
              <w:rPr>
                <w:b/>
                <w:sz w:val="24"/>
              </w:rPr>
            </w:pPr>
            <w:r>
              <w:rPr>
                <w:b/>
                <w:sz w:val="24"/>
              </w:rPr>
              <w:t>2. Identification</w:t>
            </w:r>
          </w:p>
          <w:p w:rsidR="00B056CD" w:rsidRPr="003A3094" w:rsidRDefault="00B056CD" w:rsidP="00065821">
            <w:pPr>
              <w:jc w:val="center"/>
              <w:rPr>
                <w:b/>
                <w:sz w:val="12"/>
                <w:szCs w:val="12"/>
              </w:rPr>
            </w:pPr>
          </w:p>
          <w:p w:rsidR="00090612" w:rsidRPr="00A46520" w:rsidRDefault="00090612" w:rsidP="00A46520">
            <w:pPr>
              <w:jc w:val="center"/>
              <w:rPr>
                <w:rFonts w:cs="Helvetica"/>
                <w:color w:val="565656"/>
                <w:lang w:val="en-US"/>
              </w:rPr>
            </w:pPr>
            <w:r w:rsidRPr="00090612">
              <w:rPr>
                <w:rFonts w:cs="Helvetica"/>
                <w:color w:val="565656"/>
                <w:lang w:val="en-US"/>
              </w:rPr>
              <w:t xml:space="preserve">Detect the incident – Is it an </w:t>
            </w:r>
            <w:r w:rsidR="00A46520">
              <w:rPr>
                <w:rFonts w:cs="Helvetica"/>
                <w:color w:val="565656"/>
                <w:lang w:val="en-US"/>
              </w:rPr>
              <w:t xml:space="preserve">incident (breach of policy), a </w:t>
            </w:r>
            <w:r w:rsidRPr="00090612">
              <w:rPr>
                <w:rFonts w:cs="Helvetica"/>
                <w:color w:val="565656"/>
                <w:lang w:val="en-US"/>
              </w:rPr>
              <w:t xml:space="preserve">near </w:t>
            </w:r>
            <w:r w:rsidR="00A46520">
              <w:rPr>
                <w:rFonts w:cs="Helvetica"/>
                <w:color w:val="565656"/>
                <w:lang w:val="en-US"/>
              </w:rPr>
              <w:t xml:space="preserve">miss, or a data breach? </w:t>
            </w:r>
            <w:r w:rsidRPr="00090612">
              <w:rPr>
                <w:rFonts w:cs="Helvetica"/>
                <w:color w:val="565656"/>
                <w:lang w:val="en-US"/>
              </w:rPr>
              <w:t>Determine its scope, and involve the appropriate parties</w:t>
            </w:r>
          </w:p>
        </w:tc>
        <w:tc>
          <w:tcPr>
            <w:tcW w:w="5193" w:type="dxa"/>
            <w:vAlign w:val="center"/>
          </w:tcPr>
          <w:p w:rsidR="00996DE4" w:rsidRDefault="00996DE4" w:rsidP="00996DE4"/>
          <w:p w:rsidR="00065821" w:rsidRDefault="00065821" w:rsidP="00996DE4"/>
          <w:p w:rsidR="00065821" w:rsidRPr="00065821" w:rsidRDefault="00065821" w:rsidP="00996DE4"/>
        </w:tc>
      </w:tr>
      <w:tr w:rsidR="00996DE4" w:rsidTr="00D47A93">
        <w:trPr>
          <w:jc w:val="center"/>
        </w:trPr>
        <w:tc>
          <w:tcPr>
            <w:tcW w:w="3823" w:type="dxa"/>
            <w:shd w:val="clear" w:color="auto" w:fill="FFD966" w:themeFill="accent4" w:themeFillTint="99"/>
            <w:vAlign w:val="center"/>
          </w:tcPr>
          <w:p w:rsidR="00996DE4" w:rsidRDefault="00996DE4" w:rsidP="00065821">
            <w:pPr>
              <w:jc w:val="center"/>
              <w:rPr>
                <w:b/>
                <w:sz w:val="24"/>
              </w:rPr>
            </w:pPr>
            <w:r>
              <w:rPr>
                <w:b/>
                <w:sz w:val="24"/>
              </w:rPr>
              <w:t>3. Containment</w:t>
            </w:r>
          </w:p>
          <w:p w:rsidR="00B056CD" w:rsidRPr="003A3094" w:rsidRDefault="00B056CD" w:rsidP="00065821">
            <w:pPr>
              <w:jc w:val="center"/>
              <w:rPr>
                <w:b/>
                <w:sz w:val="12"/>
                <w:szCs w:val="12"/>
              </w:rPr>
            </w:pPr>
          </w:p>
          <w:p w:rsidR="00090612" w:rsidRPr="00090612" w:rsidRDefault="00090612" w:rsidP="00D47A93">
            <w:pPr>
              <w:jc w:val="center"/>
              <w:rPr>
                <w:b/>
                <w:sz w:val="24"/>
              </w:rPr>
            </w:pPr>
            <w:r w:rsidRPr="00090612">
              <w:rPr>
                <w:rFonts w:cs="Helvetica"/>
                <w:color w:val="565656"/>
                <w:lang w:val="en-US"/>
              </w:rPr>
              <w:t xml:space="preserve">Contain the incident to minimize its effect on </w:t>
            </w:r>
            <w:r w:rsidR="00D47A93">
              <w:rPr>
                <w:rFonts w:cs="Helvetica"/>
                <w:color w:val="565656"/>
                <w:lang w:val="en-US"/>
              </w:rPr>
              <w:t>other</w:t>
            </w:r>
            <w:r w:rsidRPr="00090612">
              <w:rPr>
                <w:rFonts w:cs="Helvetica"/>
                <w:color w:val="565656"/>
                <w:lang w:val="en-US"/>
              </w:rPr>
              <w:t xml:space="preserve"> IT resources</w:t>
            </w:r>
          </w:p>
        </w:tc>
        <w:tc>
          <w:tcPr>
            <w:tcW w:w="5193" w:type="dxa"/>
            <w:vAlign w:val="center"/>
          </w:tcPr>
          <w:p w:rsidR="00996DE4" w:rsidRPr="00065821" w:rsidRDefault="00996DE4" w:rsidP="00996DE4"/>
        </w:tc>
      </w:tr>
      <w:tr w:rsidR="00996DE4" w:rsidTr="00D47A93">
        <w:trPr>
          <w:jc w:val="center"/>
        </w:trPr>
        <w:tc>
          <w:tcPr>
            <w:tcW w:w="3823" w:type="dxa"/>
            <w:shd w:val="clear" w:color="auto" w:fill="A8D08D" w:themeFill="accent6" w:themeFillTint="99"/>
            <w:vAlign w:val="center"/>
          </w:tcPr>
          <w:p w:rsidR="00996DE4" w:rsidRDefault="003535ED" w:rsidP="00065821">
            <w:pPr>
              <w:jc w:val="center"/>
              <w:rPr>
                <w:b/>
                <w:sz w:val="24"/>
              </w:rPr>
            </w:pPr>
            <w:r>
              <w:br w:type="page"/>
            </w:r>
            <w:r>
              <w:br w:type="page"/>
            </w:r>
            <w:r w:rsidRPr="003535ED">
              <w:rPr>
                <w:b/>
                <w:sz w:val="24"/>
                <w:szCs w:val="24"/>
              </w:rPr>
              <w:t>4</w:t>
            </w:r>
            <w:r w:rsidR="00996DE4">
              <w:rPr>
                <w:b/>
                <w:sz w:val="24"/>
              </w:rPr>
              <w:t>. Eradication</w:t>
            </w:r>
          </w:p>
          <w:p w:rsidR="00B056CD" w:rsidRPr="003A3094" w:rsidRDefault="00B056CD" w:rsidP="00065821">
            <w:pPr>
              <w:jc w:val="center"/>
              <w:rPr>
                <w:b/>
                <w:sz w:val="12"/>
                <w:szCs w:val="12"/>
              </w:rPr>
            </w:pPr>
          </w:p>
          <w:p w:rsidR="00090612" w:rsidRDefault="00090612" w:rsidP="00D47A93">
            <w:pPr>
              <w:jc w:val="center"/>
              <w:rPr>
                <w:rFonts w:cs="Helvetica"/>
                <w:color w:val="565656"/>
                <w:lang w:val="en-US"/>
              </w:rPr>
            </w:pPr>
            <w:r w:rsidRPr="00090612">
              <w:rPr>
                <w:rFonts w:cs="Helvetica"/>
                <w:color w:val="565656"/>
                <w:lang w:val="en-US"/>
              </w:rPr>
              <w:t xml:space="preserve">Eliminate </w:t>
            </w:r>
            <w:r w:rsidR="00D47A93">
              <w:rPr>
                <w:rFonts w:cs="Helvetica"/>
                <w:color w:val="565656"/>
                <w:lang w:val="en-US"/>
              </w:rPr>
              <w:t>the affected elements</w:t>
            </w:r>
          </w:p>
          <w:p w:rsidR="00D47A93" w:rsidRPr="00090612" w:rsidRDefault="00D47A93" w:rsidP="00D47A93">
            <w:pPr>
              <w:jc w:val="center"/>
              <w:rPr>
                <w:b/>
                <w:sz w:val="24"/>
              </w:rPr>
            </w:pPr>
            <w:r>
              <w:rPr>
                <w:rFonts w:cs="Helvetica"/>
                <w:color w:val="565656"/>
                <w:lang w:val="en-US"/>
              </w:rPr>
              <w:t>e.g. remove the malware and scan for anything remaining</w:t>
            </w:r>
          </w:p>
        </w:tc>
        <w:tc>
          <w:tcPr>
            <w:tcW w:w="5193" w:type="dxa"/>
            <w:vAlign w:val="center"/>
          </w:tcPr>
          <w:p w:rsidR="00996DE4" w:rsidRPr="00065821" w:rsidRDefault="00996DE4" w:rsidP="00996DE4"/>
        </w:tc>
      </w:tr>
      <w:tr w:rsidR="00996DE4" w:rsidTr="00C72019">
        <w:trPr>
          <w:jc w:val="center"/>
        </w:trPr>
        <w:tc>
          <w:tcPr>
            <w:tcW w:w="3823" w:type="dxa"/>
            <w:shd w:val="clear" w:color="auto" w:fill="FFFF99"/>
            <w:vAlign w:val="center"/>
          </w:tcPr>
          <w:p w:rsidR="00996DE4" w:rsidRDefault="00996DE4" w:rsidP="00065821">
            <w:pPr>
              <w:jc w:val="center"/>
              <w:rPr>
                <w:b/>
                <w:sz w:val="24"/>
              </w:rPr>
            </w:pPr>
            <w:r>
              <w:rPr>
                <w:b/>
                <w:sz w:val="24"/>
              </w:rPr>
              <w:t>5. Recovery</w:t>
            </w:r>
          </w:p>
          <w:p w:rsidR="00B056CD" w:rsidRPr="003A3094" w:rsidRDefault="00B056CD" w:rsidP="00065821">
            <w:pPr>
              <w:jc w:val="center"/>
              <w:rPr>
                <w:b/>
                <w:sz w:val="12"/>
                <w:szCs w:val="12"/>
              </w:rPr>
            </w:pPr>
          </w:p>
          <w:p w:rsidR="00090612" w:rsidRPr="00090612" w:rsidRDefault="00090612" w:rsidP="00505168">
            <w:pPr>
              <w:jc w:val="center"/>
              <w:rPr>
                <w:b/>
                <w:sz w:val="24"/>
              </w:rPr>
            </w:pPr>
            <w:r w:rsidRPr="00090612">
              <w:rPr>
                <w:rFonts w:cs="Helvetica"/>
                <w:color w:val="565656"/>
                <w:lang w:val="en-US"/>
              </w:rPr>
              <w:t>Restore the system to normal operations, possibly via reinstall or backup.</w:t>
            </w:r>
          </w:p>
        </w:tc>
        <w:tc>
          <w:tcPr>
            <w:tcW w:w="5193" w:type="dxa"/>
            <w:tcBorders>
              <w:bottom w:val="single" w:sz="4" w:space="0" w:color="auto"/>
            </w:tcBorders>
            <w:vAlign w:val="center"/>
          </w:tcPr>
          <w:p w:rsidR="00996DE4" w:rsidRPr="00065821" w:rsidRDefault="00996DE4" w:rsidP="00996DE4"/>
        </w:tc>
      </w:tr>
      <w:tr w:rsidR="00C72019" w:rsidTr="00C72019">
        <w:trPr>
          <w:trHeight w:val="405"/>
          <w:jc w:val="center"/>
        </w:trPr>
        <w:tc>
          <w:tcPr>
            <w:tcW w:w="3823" w:type="dxa"/>
            <w:vMerge w:val="restart"/>
            <w:shd w:val="clear" w:color="auto" w:fill="FF99FF"/>
            <w:vAlign w:val="center"/>
          </w:tcPr>
          <w:p w:rsidR="00C72019" w:rsidRDefault="00C72019" w:rsidP="00065821">
            <w:pPr>
              <w:jc w:val="center"/>
              <w:rPr>
                <w:b/>
                <w:sz w:val="24"/>
              </w:rPr>
            </w:pPr>
            <w:r>
              <w:rPr>
                <w:b/>
                <w:sz w:val="24"/>
              </w:rPr>
              <w:t>6. Wrap Up</w:t>
            </w:r>
          </w:p>
          <w:p w:rsidR="00C72019" w:rsidRPr="003A3094" w:rsidRDefault="00C72019" w:rsidP="00065821">
            <w:pPr>
              <w:jc w:val="center"/>
              <w:rPr>
                <w:b/>
                <w:sz w:val="12"/>
                <w:szCs w:val="12"/>
              </w:rPr>
            </w:pPr>
          </w:p>
          <w:p w:rsidR="00D579C6" w:rsidRDefault="00C72019" w:rsidP="00D579C6">
            <w:pPr>
              <w:jc w:val="center"/>
              <w:rPr>
                <w:rFonts w:cs="Helvetica"/>
                <w:color w:val="565656"/>
                <w:lang w:val="en-US"/>
              </w:rPr>
            </w:pPr>
            <w:r w:rsidRPr="00090612">
              <w:rPr>
                <w:rFonts w:cs="Helvetica"/>
                <w:color w:val="565656"/>
                <w:lang w:val="en-US"/>
              </w:rPr>
              <w:lastRenderedPageBreak/>
              <w:t>Document the</w:t>
            </w:r>
            <w:r w:rsidR="00360D88">
              <w:rPr>
                <w:rFonts w:cs="Helvetica"/>
                <w:color w:val="565656"/>
                <w:lang w:val="en-US"/>
              </w:rPr>
              <w:t xml:space="preserve"> </w:t>
            </w:r>
            <w:r w:rsidRPr="00090612">
              <w:rPr>
                <w:rFonts w:cs="Helvetica"/>
                <w:color w:val="565656"/>
                <w:lang w:val="en-US"/>
              </w:rPr>
              <w:t>lessons learned</w:t>
            </w:r>
            <w:r w:rsidR="00D579C6">
              <w:rPr>
                <w:rFonts w:cs="Helvetica"/>
                <w:color w:val="565656"/>
                <w:lang w:val="en-US"/>
              </w:rPr>
              <w:t xml:space="preserve"> and actions to reduce the risk of the incident/breach/near miss re-occurring</w:t>
            </w:r>
          </w:p>
          <w:p w:rsidR="00C72019" w:rsidRDefault="00C72019" w:rsidP="00505168">
            <w:pPr>
              <w:jc w:val="center"/>
              <w:rPr>
                <w:rFonts w:cs="Helvetica"/>
                <w:color w:val="565656"/>
                <w:lang w:val="en-US"/>
              </w:rPr>
            </w:pPr>
          </w:p>
          <w:p w:rsidR="00C72019" w:rsidRPr="00360D88" w:rsidRDefault="00C72019" w:rsidP="00360D88">
            <w:pPr>
              <w:jc w:val="center"/>
              <w:rPr>
                <w:rFonts w:cs="Helvetica"/>
                <w:color w:val="565656"/>
                <w:lang w:val="en-US"/>
              </w:rPr>
            </w:pPr>
            <w:r>
              <w:rPr>
                <w:rFonts w:cs="Helvetica"/>
                <w:color w:val="565656"/>
                <w:lang w:val="en-US"/>
              </w:rPr>
              <w:t>Document the decision to report</w:t>
            </w:r>
            <w:r w:rsidR="00360D88">
              <w:rPr>
                <w:rFonts w:cs="Helvetica"/>
                <w:color w:val="565656"/>
                <w:lang w:val="en-US"/>
              </w:rPr>
              <w:t xml:space="preserve"> to both the affected data subjects and the ICO.</w:t>
            </w:r>
          </w:p>
        </w:tc>
        <w:tc>
          <w:tcPr>
            <w:tcW w:w="5193" w:type="dxa"/>
            <w:tcBorders>
              <w:bottom w:val="single" w:sz="4" w:space="0" w:color="auto"/>
            </w:tcBorders>
            <w:vAlign w:val="center"/>
          </w:tcPr>
          <w:p w:rsidR="00C72019" w:rsidRDefault="00C72019" w:rsidP="00996DE4"/>
          <w:p w:rsidR="00D579C6" w:rsidRDefault="00D579C6" w:rsidP="00996DE4"/>
          <w:p w:rsidR="00D579C6" w:rsidRDefault="00D579C6" w:rsidP="00996DE4"/>
          <w:p w:rsidR="00C72019" w:rsidRPr="00065821" w:rsidRDefault="00C72019" w:rsidP="00996DE4"/>
        </w:tc>
      </w:tr>
      <w:tr w:rsidR="00C72019" w:rsidTr="00C72019">
        <w:trPr>
          <w:trHeight w:val="117"/>
          <w:jc w:val="center"/>
        </w:trPr>
        <w:tc>
          <w:tcPr>
            <w:tcW w:w="3823" w:type="dxa"/>
            <w:vMerge/>
            <w:shd w:val="clear" w:color="auto" w:fill="FF99FF"/>
            <w:vAlign w:val="center"/>
          </w:tcPr>
          <w:p w:rsidR="00C72019" w:rsidRDefault="00C72019" w:rsidP="00065821">
            <w:pPr>
              <w:jc w:val="center"/>
              <w:rPr>
                <w:b/>
                <w:sz w:val="24"/>
              </w:rPr>
            </w:pPr>
          </w:p>
        </w:tc>
        <w:tc>
          <w:tcPr>
            <w:tcW w:w="5193" w:type="dxa"/>
            <w:tcBorders>
              <w:top w:val="single" w:sz="4" w:space="0" w:color="auto"/>
              <w:bottom w:val="single" w:sz="4" w:space="0" w:color="auto"/>
            </w:tcBorders>
            <w:vAlign w:val="center"/>
          </w:tcPr>
          <w:p w:rsidR="00D579C6" w:rsidRPr="00D579C6" w:rsidRDefault="00D579C6" w:rsidP="00996DE4">
            <w:pPr>
              <w:rPr>
                <w:i/>
                <w:sz w:val="20"/>
              </w:rPr>
            </w:pPr>
            <w:r w:rsidRPr="00D579C6">
              <w:rPr>
                <w:rFonts w:cs="Arial"/>
                <w:i/>
                <w:color w:val="000000"/>
                <w:szCs w:val="23"/>
                <w:lang w:val="en"/>
              </w:rPr>
              <w:t>If the breach is likely to result in a high risk of adversely affecting individuals’ rights and freedoms, you must also inform those individuals without undue delay</w:t>
            </w:r>
          </w:p>
          <w:p w:rsidR="00C72019" w:rsidRDefault="00C72019" w:rsidP="00996DE4">
            <w:r w:rsidRPr="00D579C6">
              <w:rPr>
                <w:b/>
              </w:rPr>
              <w:t>Decision to report to Data subjects</w:t>
            </w:r>
            <w:r>
              <w:t xml:space="preserve">  - Yes / No</w:t>
            </w:r>
          </w:p>
          <w:p w:rsidR="00C72019" w:rsidRDefault="00C72019" w:rsidP="00996DE4"/>
          <w:p w:rsidR="00C72019" w:rsidRDefault="00C72019" w:rsidP="00996DE4">
            <w:r>
              <w:t>Based on:</w:t>
            </w:r>
          </w:p>
          <w:p w:rsidR="00C72019" w:rsidRDefault="00C72019" w:rsidP="00996DE4"/>
          <w:p w:rsidR="00C72019" w:rsidRDefault="00C72019" w:rsidP="00996DE4">
            <w:r>
              <w:t>Officer:</w:t>
            </w:r>
          </w:p>
          <w:p w:rsidR="00C72019" w:rsidRDefault="00C72019" w:rsidP="00996DE4"/>
          <w:p w:rsidR="00C72019" w:rsidRDefault="00C72019" w:rsidP="00996DE4">
            <w:r>
              <w:t>Signed:                                               Date:</w:t>
            </w:r>
          </w:p>
          <w:p w:rsidR="00C72019" w:rsidRDefault="00C72019" w:rsidP="00996DE4"/>
        </w:tc>
      </w:tr>
      <w:tr w:rsidR="00C72019" w:rsidTr="00C72019">
        <w:trPr>
          <w:trHeight w:val="1545"/>
          <w:jc w:val="center"/>
        </w:trPr>
        <w:tc>
          <w:tcPr>
            <w:tcW w:w="3823" w:type="dxa"/>
            <w:vMerge/>
            <w:shd w:val="clear" w:color="auto" w:fill="FF99FF"/>
            <w:vAlign w:val="center"/>
          </w:tcPr>
          <w:p w:rsidR="00C72019" w:rsidRDefault="00C72019" w:rsidP="00065821">
            <w:pPr>
              <w:jc w:val="center"/>
              <w:rPr>
                <w:b/>
                <w:sz w:val="24"/>
              </w:rPr>
            </w:pPr>
          </w:p>
        </w:tc>
        <w:tc>
          <w:tcPr>
            <w:tcW w:w="5193" w:type="dxa"/>
            <w:tcBorders>
              <w:top w:val="single" w:sz="4" w:space="0" w:color="auto"/>
            </w:tcBorders>
            <w:vAlign w:val="center"/>
          </w:tcPr>
          <w:p w:rsidR="00D579C6" w:rsidRPr="00D579C6" w:rsidRDefault="00D579C6" w:rsidP="00C72019">
            <w:pPr>
              <w:rPr>
                <w:i/>
                <w:sz w:val="20"/>
              </w:rPr>
            </w:pPr>
            <w:r>
              <w:rPr>
                <w:rFonts w:cs="Arial"/>
                <w:i/>
                <w:color w:val="000000"/>
                <w:szCs w:val="23"/>
                <w:lang w:val="en"/>
              </w:rPr>
              <w:t>E</w:t>
            </w:r>
            <w:r w:rsidRPr="00D579C6">
              <w:rPr>
                <w:rFonts w:cs="Arial"/>
                <w:i/>
                <w:color w:val="000000"/>
                <w:szCs w:val="23"/>
                <w:lang w:val="en"/>
              </w:rPr>
              <w:t>stablish the likelihood and severity of the resulting risk to people’s rights and freedoms</w:t>
            </w:r>
            <w:r>
              <w:rPr>
                <w:rFonts w:cs="Arial"/>
                <w:i/>
                <w:color w:val="000000"/>
                <w:szCs w:val="23"/>
                <w:lang w:val="en"/>
              </w:rPr>
              <w:t xml:space="preserve"> - </w:t>
            </w:r>
            <w:r w:rsidRPr="00D579C6">
              <w:rPr>
                <w:rFonts w:cs="Arial"/>
                <w:i/>
                <w:color w:val="000000"/>
                <w:szCs w:val="23"/>
                <w:lang w:val="en"/>
              </w:rPr>
              <w:t>A personal data breach may, if not addressed in an appropriate and timely manner, result in physical, material or non-material damage to natural persons such as loss of control over their personal data or limitation of their rights, discrimination, identity theft or fraud, financial loss, unauthorised reversal of pseudonymisation, damage to reputation, loss of confidentiality of personal data protected by professional secrecy or any other significant economic or social disadvantage to the natural person concerned</w:t>
            </w:r>
          </w:p>
          <w:p w:rsidR="00D579C6" w:rsidRDefault="00D579C6" w:rsidP="00C72019"/>
          <w:p w:rsidR="00C72019" w:rsidRDefault="00C72019" w:rsidP="00C72019">
            <w:r w:rsidRPr="00D579C6">
              <w:rPr>
                <w:b/>
              </w:rPr>
              <w:t>Decision to report to ICO</w:t>
            </w:r>
            <w:r>
              <w:t xml:space="preserve">  - Yes / No </w:t>
            </w:r>
          </w:p>
          <w:p w:rsidR="00C72019" w:rsidRDefault="00C72019" w:rsidP="00C72019"/>
          <w:p w:rsidR="00C72019" w:rsidRDefault="00C72019" w:rsidP="00C72019">
            <w:r>
              <w:t>Based on:</w:t>
            </w:r>
          </w:p>
          <w:p w:rsidR="00C72019" w:rsidRDefault="00C72019" w:rsidP="00C72019"/>
          <w:p w:rsidR="00C72019" w:rsidRDefault="00C72019" w:rsidP="00C72019">
            <w:r>
              <w:t>Officer:</w:t>
            </w:r>
          </w:p>
          <w:p w:rsidR="00C72019" w:rsidRDefault="00C72019" w:rsidP="00C72019"/>
          <w:p w:rsidR="00C72019" w:rsidRDefault="00C72019" w:rsidP="00C72019">
            <w:r>
              <w:t>Signed:                                               Date:</w:t>
            </w:r>
          </w:p>
          <w:p w:rsidR="00C72019" w:rsidRDefault="00C72019" w:rsidP="00996DE4"/>
        </w:tc>
      </w:tr>
    </w:tbl>
    <w:p w:rsidR="002609CF" w:rsidRDefault="002609CF" w:rsidP="00996DE4">
      <w:pPr>
        <w:rPr>
          <w:b/>
          <w:sz w:val="24"/>
        </w:rPr>
      </w:pPr>
    </w:p>
    <w:p w:rsidR="00996DE4" w:rsidRPr="00D47A93" w:rsidRDefault="002609CF" w:rsidP="00996DE4">
      <w:pPr>
        <w:rPr>
          <w:b/>
          <w:sz w:val="28"/>
        </w:rPr>
      </w:pPr>
      <w:r>
        <w:rPr>
          <w:b/>
          <w:sz w:val="24"/>
        </w:rPr>
        <w:br w:type="page"/>
      </w:r>
      <w:r w:rsidRPr="00D47A93">
        <w:rPr>
          <w:b/>
          <w:sz w:val="28"/>
        </w:rPr>
        <w:lastRenderedPageBreak/>
        <w:t>Appendix A</w:t>
      </w:r>
      <w:r w:rsidR="00D47A93" w:rsidRPr="00D47A93">
        <w:rPr>
          <w:b/>
          <w:sz w:val="28"/>
        </w:rPr>
        <w:t xml:space="preserve"> – Phase 1 (Preparation</w:t>
      </w:r>
      <w:r w:rsidR="00D277FE">
        <w:rPr>
          <w:b/>
          <w:sz w:val="28"/>
        </w:rPr>
        <w:t>)</w:t>
      </w:r>
    </w:p>
    <w:tbl>
      <w:tblPr>
        <w:tblStyle w:val="TableGrid"/>
        <w:tblW w:w="0" w:type="auto"/>
        <w:jc w:val="center"/>
        <w:tblLook w:val="04A0" w:firstRow="1" w:lastRow="0" w:firstColumn="1" w:lastColumn="0" w:noHBand="0" w:noVBand="1"/>
      </w:tblPr>
      <w:tblGrid>
        <w:gridCol w:w="3823"/>
        <w:gridCol w:w="5193"/>
      </w:tblGrid>
      <w:tr w:rsidR="002609CF" w:rsidRPr="00653864" w:rsidTr="002609CF">
        <w:trPr>
          <w:jc w:val="center"/>
        </w:trPr>
        <w:tc>
          <w:tcPr>
            <w:tcW w:w="3823" w:type="dxa"/>
            <w:shd w:val="clear" w:color="auto" w:fill="9CC2E5" w:themeFill="accent1" w:themeFillTint="99"/>
            <w:vAlign w:val="center"/>
          </w:tcPr>
          <w:p w:rsidR="002609CF" w:rsidRDefault="002609CF" w:rsidP="002609CF">
            <w:pPr>
              <w:jc w:val="center"/>
              <w:rPr>
                <w:b/>
                <w:sz w:val="24"/>
              </w:rPr>
            </w:pPr>
            <w:r>
              <w:rPr>
                <w:b/>
                <w:sz w:val="24"/>
              </w:rPr>
              <w:t>1. Preparation</w:t>
            </w:r>
          </w:p>
          <w:p w:rsidR="002609CF" w:rsidRDefault="002609CF" w:rsidP="002609CF">
            <w:pPr>
              <w:jc w:val="center"/>
              <w:rPr>
                <w:b/>
                <w:sz w:val="24"/>
              </w:rPr>
            </w:pPr>
          </w:p>
          <w:p w:rsidR="002609CF" w:rsidRPr="00090612" w:rsidRDefault="002609CF" w:rsidP="002609CF">
            <w:pPr>
              <w:jc w:val="center"/>
              <w:rPr>
                <w:b/>
                <w:sz w:val="24"/>
              </w:rPr>
            </w:pPr>
            <w:r w:rsidRPr="00090612">
              <w:rPr>
                <w:rFonts w:cs="Helvetica"/>
                <w:color w:val="565656"/>
                <w:lang w:val="en-US"/>
              </w:rPr>
              <w:t>Gather and learn the necessary tools, become familiar with your environment</w:t>
            </w:r>
          </w:p>
        </w:tc>
        <w:tc>
          <w:tcPr>
            <w:tcW w:w="5193" w:type="dxa"/>
          </w:tcPr>
          <w:p w:rsidR="002609CF" w:rsidRPr="00065821" w:rsidRDefault="00A46520" w:rsidP="002609CF">
            <w:pPr>
              <w:pStyle w:val="ListParagraph"/>
              <w:numPr>
                <w:ilvl w:val="0"/>
                <w:numId w:val="1"/>
              </w:numPr>
              <w:ind w:left="317" w:hanging="284"/>
            </w:pPr>
            <w:r>
              <w:t xml:space="preserve">Necessary staff </w:t>
            </w:r>
            <w:r w:rsidR="002609CF" w:rsidRPr="00065821">
              <w:t>trained on incident handling</w:t>
            </w:r>
            <w:r>
              <w:t xml:space="preserve"> and incident response</w:t>
            </w:r>
          </w:p>
          <w:p w:rsidR="002609CF" w:rsidRPr="00065821" w:rsidRDefault="002609CF" w:rsidP="002609CF">
            <w:pPr>
              <w:pStyle w:val="ListParagraph"/>
              <w:numPr>
                <w:ilvl w:val="0"/>
                <w:numId w:val="1"/>
              </w:numPr>
              <w:ind w:left="317" w:hanging="284"/>
            </w:pPr>
            <w:r w:rsidRPr="00065821">
              <w:t>Policy</w:t>
            </w:r>
            <w:r>
              <w:t>, Procedures &amp; Guidance</w:t>
            </w:r>
            <w:r w:rsidR="00A46520">
              <w:t xml:space="preserve">  (link to org policies)</w:t>
            </w:r>
          </w:p>
          <w:p w:rsidR="002609CF" w:rsidRDefault="002609CF" w:rsidP="00D47A93">
            <w:pPr>
              <w:pStyle w:val="ListParagraph"/>
              <w:numPr>
                <w:ilvl w:val="0"/>
                <w:numId w:val="1"/>
              </w:numPr>
              <w:ind w:left="317" w:hanging="284"/>
            </w:pPr>
            <w:r>
              <w:t>Network Diagrams</w:t>
            </w:r>
            <w:r w:rsidR="00D579C6">
              <w:t xml:space="preserve"> are held by ICT</w:t>
            </w:r>
          </w:p>
          <w:p w:rsidR="00D47A93" w:rsidRDefault="00D579C6" w:rsidP="00D47A93">
            <w:pPr>
              <w:pStyle w:val="ListParagraph"/>
              <w:numPr>
                <w:ilvl w:val="0"/>
                <w:numId w:val="1"/>
              </w:numPr>
              <w:ind w:left="317" w:hanging="284"/>
            </w:pPr>
            <w:r>
              <w:t xml:space="preserve">The </w:t>
            </w:r>
            <w:r w:rsidR="00A46520">
              <w:t>R</w:t>
            </w:r>
            <w:r>
              <w:t>ecord of Processing Activities (Ro</w:t>
            </w:r>
            <w:r w:rsidR="00A46520">
              <w:t>PA</w:t>
            </w:r>
            <w:r>
              <w:t>)</w:t>
            </w:r>
            <w:r w:rsidR="00A46520">
              <w:t xml:space="preserve"> will provide details of data, owners</w:t>
            </w:r>
            <w:r>
              <w:t xml:space="preserve">, </w:t>
            </w:r>
            <w:r w:rsidR="00A46520">
              <w:t>cus</w:t>
            </w:r>
            <w:r>
              <w:t>todians, and third parties – link to the RoPA</w:t>
            </w:r>
          </w:p>
          <w:p w:rsidR="003110E6" w:rsidRDefault="00A46520" w:rsidP="003110E6">
            <w:pPr>
              <w:pStyle w:val="ListParagraph"/>
              <w:numPr>
                <w:ilvl w:val="0"/>
                <w:numId w:val="1"/>
              </w:numPr>
              <w:ind w:left="317" w:hanging="284"/>
            </w:pPr>
            <w:r>
              <w:t>ICT also record event logs and hold logs on other systems (e.g. emails, firewalls etc)</w:t>
            </w:r>
          </w:p>
          <w:p w:rsidR="00D579C6" w:rsidRDefault="00D579C6" w:rsidP="003110E6">
            <w:pPr>
              <w:pStyle w:val="ListParagraph"/>
              <w:numPr>
                <w:ilvl w:val="0"/>
                <w:numId w:val="1"/>
              </w:numPr>
              <w:ind w:left="317" w:hanging="284"/>
            </w:pPr>
            <w:r>
              <w:t>INSERT ANY OTHER TOOLS WHICH WILL HELP YOU IN INCIDENT RESPONSE</w:t>
            </w:r>
          </w:p>
          <w:p w:rsidR="002609CF" w:rsidRPr="00065821" w:rsidRDefault="002609CF" w:rsidP="002609CF">
            <w:pPr>
              <w:pStyle w:val="ListParagraph"/>
              <w:numPr>
                <w:ilvl w:val="0"/>
                <w:numId w:val="1"/>
              </w:numPr>
              <w:ind w:left="317" w:hanging="284"/>
            </w:pPr>
            <w:r w:rsidRPr="00065821">
              <w:t xml:space="preserve">Key </w:t>
            </w:r>
            <w:r>
              <w:t>c</w:t>
            </w:r>
            <w:r w:rsidRPr="00065821">
              <w:t>ontacts:</w:t>
            </w:r>
          </w:p>
          <w:p w:rsidR="00C97ECF" w:rsidRDefault="00A46520" w:rsidP="002609CF">
            <w:pPr>
              <w:pStyle w:val="ListParagraph"/>
              <w:numPr>
                <w:ilvl w:val="1"/>
                <w:numId w:val="1"/>
              </w:numPr>
              <w:ind w:left="884" w:hanging="284"/>
            </w:pPr>
            <w:r>
              <w:t>INSERT KEY CONTACTs</w:t>
            </w:r>
          </w:p>
          <w:p w:rsidR="002609CF" w:rsidRPr="002609CF" w:rsidRDefault="002609CF" w:rsidP="00C97ECF"/>
        </w:tc>
      </w:tr>
    </w:tbl>
    <w:p w:rsidR="00D162A1" w:rsidRDefault="00D162A1" w:rsidP="00996DE4">
      <w:pPr>
        <w:rPr>
          <w:b/>
          <w:sz w:val="24"/>
        </w:rPr>
        <w:sectPr w:rsidR="00D162A1" w:rsidSect="003A3094">
          <w:footerReference w:type="default" r:id="rId8"/>
          <w:pgSz w:w="11906" w:h="16838" w:code="9"/>
          <w:pgMar w:top="567" w:right="1276" w:bottom="142" w:left="1440" w:header="709" w:footer="104" w:gutter="0"/>
          <w:cols w:space="708"/>
          <w:docGrid w:linePitch="360"/>
        </w:sectPr>
      </w:pPr>
    </w:p>
    <w:p w:rsidR="00D162A1" w:rsidRPr="00D162A1" w:rsidRDefault="00D162A1" w:rsidP="00D579C6"/>
    <w:sectPr w:rsidR="00D162A1" w:rsidRPr="00D162A1" w:rsidSect="003A3094">
      <w:pgSz w:w="11906" w:h="16838" w:code="9"/>
      <w:pgMar w:top="567" w:right="1276" w:bottom="142" w:left="1440" w:header="709"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B4F" w:rsidRDefault="00E91B4F" w:rsidP="00065821">
      <w:pPr>
        <w:spacing w:after="0" w:line="240" w:lineRule="auto"/>
      </w:pPr>
      <w:r>
        <w:separator/>
      </w:r>
    </w:p>
  </w:endnote>
  <w:endnote w:type="continuationSeparator" w:id="0">
    <w:p w:rsidR="00E91B4F" w:rsidRDefault="00E91B4F" w:rsidP="0006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637073"/>
      <w:docPartObj>
        <w:docPartGallery w:val="Page Numbers (Bottom of Page)"/>
        <w:docPartUnique/>
      </w:docPartObj>
    </w:sdtPr>
    <w:sdtEndPr>
      <w:rPr>
        <w:color w:val="7F7F7F" w:themeColor="background1" w:themeShade="7F"/>
        <w:spacing w:val="60"/>
      </w:rPr>
    </w:sdtEndPr>
    <w:sdtContent>
      <w:p w:rsidR="00E91B4F" w:rsidRDefault="00E91B4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065CF" w:rsidRPr="000065CF">
          <w:rPr>
            <w:b/>
            <w:bCs/>
            <w:noProof/>
          </w:rPr>
          <w:t>2</w:t>
        </w:r>
        <w:r>
          <w:rPr>
            <w:b/>
            <w:bCs/>
            <w:noProof/>
          </w:rPr>
          <w:fldChar w:fldCharType="end"/>
        </w:r>
        <w:r>
          <w:rPr>
            <w:b/>
            <w:bCs/>
          </w:rPr>
          <w:t xml:space="preserve"> | </w:t>
        </w:r>
        <w:r w:rsidR="00D579C6">
          <w:rPr>
            <w:color w:val="7F7F7F" w:themeColor="background1" w:themeShade="7F"/>
            <w:spacing w:val="60"/>
          </w:rPr>
          <w:t>Page</w:t>
        </w:r>
        <w:r w:rsidR="00D579C6">
          <w:rPr>
            <w:color w:val="7F7F7F" w:themeColor="background1" w:themeShade="7F"/>
            <w:spacing w:val="60"/>
          </w:rPr>
          <w:tab/>
          <w:t>OFFICIAL</w:t>
        </w:r>
        <w:r w:rsidR="00D579C6">
          <w:rPr>
            <w:color w:val="7F7F7F" w:themeColor="background1" w:themeShade="7F"/>
            <w:spacing w:val="60"/>
          </w:rPr>
          <w:tab/>
          <w:t>v1.1</w:t>
        </w:r>
      </w:p>
    </w:sdtContent>
  </w:sdt>
  <w:p w:rsidR="00E91B4F" w:rsidRDefault="00E91B4F" w:rsidP="00D277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B4F" w:rsidRDefault="00E91B4F" w:rsidP="00065821">
      <w:pPr>
        <w:spacing w:after="0" w:line="240" w:lineRule="auto"/>
      </w:pPr>
      <w:r>
        <w:separator/>
      </w:r>
    </w:p>
  </w:footnote>
  <w:footnote w:type="continuationSeparator" w:id="0">
    <w:p w:rsidR="00E91B4F" w:rsidRDefault="00E91B4F" w:rsidP="00065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A4CB8"/>
    <w:multiLevelType w:val="hybridMultilevel"/>
    <w:tmpl w:val="0CFC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00979"/>
    <w:multiLevelType w:val="hybridMultilevel"/>
    <w:tmpl w:val="3EB8839E"/>
    <w:lvl w:ilvl="0" w:tplc="08090001">
      <w:start w:val="1"/>
      <w:numFmt w:val="bullet"/>
      <w:lvlText w:val=""/>
      <w:lvlJc w:val="left"/>
      <w:pPr>
        <w:ind w:left="1604" w:hanging="360"/>
      </w:pPr>
      <w:rPr>
        <w:rFonts w:ascii="Symbol" w:hAnsi="Symbol" w:hint="default"/>
      </w:rPr>
    </w:lvl>
    <w:lvl w:ilvl="1" w:tplc="08090003" w:tentative="1">
      <w:start w:val="1"/>
      <w:numFmt w:val="bullet"/>
      <w:lvlText w:val="o"/>
      <w:lvlJc w:val="left"/>
      <w:pPr>
        <w:ind w:left="2324" w:hanging="360"/>
      </w:pPr>
      <w:rPr>
        <w:rFonts w:ascii="Courier New" w:hAnsi="Courier New" w:cs="Courier New"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2" w15:restartNumberingAfterBreak="0">
    <w:nsid w:val="415A6C1A"/>
    <w:multiLevelType w:val="hybridMultilevel"/>
    <w:tmpl w:val="EF66CE66"/>
    <w:lvl w:ilvl="0" w:tplc="08090001">
      <w:start w:val="1"/>
      <w:numFmt w:val="bullet"/>
      <w:lvlText w:val=""/>
      <w:lvlJc w:val="left"/>
      <w:pPr>
        <w:ind w:left="1604" w:hanging="360"/>
      </w:pPr>
      <w:rPr>
        <w:rFonts w:ascii="Symbol" w:hAnsi="Symbol" w:hint="default"/>
      </w:rPr>
    </w:lvl>
    <w:lvl w:ilvl="1" w:tplc="08090003" w:tentative="1">
      <w:start w:val="1"/>
      <w:numFmt w:val="bullet"/>
      <w:lvlText w:val="o"/>
      <w:lvlJc w:val="left"/>
      <w:pPr>
        <w:ind w:left="2324" w:hanging="360"/>
      </w:pPr>
      <w:rPr>
        <w:rFonts w:ascii="Courier New" w:hAnsi="Courier New" w:cs="Courier New"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3" w15:restartNumberingAfterBreak="0">
    <w:nsid w:val="498D72FA"/>
    <w:multiLevelType w:val="hybridMultilevel"/>
    <w:tmpl w:val="5458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3D5876"/>
    <w:multiLevelType w:val="hybridMultilevel"/>
    <w:tmpl w:val="EB8A8D14"/>
    <w:lvl w:ilvl="0" w:tplc="08090001">
      <w:start w:val="1"/>
      <w:numFmt w:val="bullet"/>
      <w:lvlText w:val=""/>
      <w:lvlJc w:val="left"/>
      <w:pPr>
        <w:ind w:left="1604" w:hanging="360"/>
      </w:pPr>
      <w:rPr>
        <w:rFonts w:ascii="Symbol" w:hAnsi="Symbol" w:hint="default"/>
      </w:rPr>
    </w:lvl>
    <w:lvl w:ilvl="1" w:tplc="08090003" w:tentative="1">
      <w:start w:val="1"/>
      <w:numFmt w:val="bullet"/>
      <w:lvlText w:val="o"/>
      <w:lvlJc w:val="left"/>
      <w:pPr>
        <w:ind w:left="2324" w:hanging="360"/>
      </w:pPr>
      <w:rPr>
        <w:rFonts w:ascii="Courier New" w:hAnsi="Courier New" w:cs="Courier New"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5" w15:restartNumberingAfterBreak="0">
    <w:nsid w:val="525003DC"/>
    <w:multiLevelType w:val="hybridMultilevel"/>
    <w:tmpl w:val="A96AF5EA"/>
    <w:lvl w:ilvl="0" w:tplc="08090001">
      <w:start w:val="1"/>
      <w:numFmt w:val="bullet"/>
      <w:lvlText w:val=""/>
      <w:lvlJc w:val="left"/>
      <w:pPr>
        <w:ind w:left="1604" w:hanging="360"/>
      </w:pPr>
      <w:rPr>
        <w:rFonts w:ascii="Symbol" w:hAnsi="Symbol" w:hint="default"/>
      </w:rPr>
    </w:lvl>
    <w:lvl w:ilvl="1" w:tplc="08090003" w:tentative="1">
      <w:start w:val="1"/>
      <w:numFmt w:val="bullet"/>
      <w:lvlText w:val="o"/>
      <w:lvlJc w:val="left"/>
      <w:pPr>
        <w:ind w:left="2324" w:hanging="360"/>
      </w:pPr>
      <w:rPr>
        <w:rFonts w:ascii="Courier New" w:hAnsi="Courier New" w:cs="Courier New"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6" w15:restartNumberingAfterBreak="0">
    <w:nsid w:val="53C20F03"/>
    <w:multiLevelType w:val="hybridMultilevel"/>
    <w:tmpl w:val="3CC839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CA84875"/>
    <w:multiLevelType w:val="hybridMultilevel"/>
    <w:tmpl w:val="C706E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BC54D1"/>
    <w:multiLevelType w:val="hybridMultilevel"/>
    <w:tmpl w:val="7DCA3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5"/>
  </w:num>
  <w:num w:numId="6">
    <w:abstractNumId w:val="4"/>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DE4"/>
    <w:rsid w:val="000065CF"/>
    <w:rsid w:val="00065821"/>
    <w:rsid w:val="00090612"/>
    <w:rsid w:val="000D2CD0"/>
    <w:rsid w:val="002609CF"/>
    <w:rsid w:val="003110E6"/>
    <w:rsid w:val="003535ED"/>
    <w:rsid w:val="00360D88"/>
    <w:rsid w:val="003A3094"/>
    <w:rsid w:val="003B3B3E"/>
    <w:rsid w:val="00505168"/>
    <w:rsid w:val="00506DAB"/>
    <w:rsid w:val="00576D36"/>
    <w:rsid w:val="00653864"/>
    <w:rsid w:val="0072491F"/>
    <w:rsid w:val="007C75F3"/>
    <w:rsid w:val="00996DE4"/>
    <w:rsid w:val="009C2C23"/>
    <w:rsid w:val="00A46520"/>
    <w:rsid w:val="00AE7C8C"/>
    <w:rsid w:val="00AF2271"/>
    <w:rsid w:val="00B056CD"/>
    <w:rsid w:val="00C72019"/>
    <w:rsid w:val="00C97ECF"/>
    <w:rsid w:val="00D162A1"/>
    <w:rsid w:val="00D277FE"/>
    <w:rsid w:val="00D47A93"/>
    <w:rsid w:val="00D579C6"/>
    <w:rsid w:val="00E91B4F"/>
    <w:rsid w:val="00E94A44"/>
    <w:rsid w:val="00E972C1"/>
    <w:rsid w:val="00F52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F82404F5-AC25-4C5D-9EFE-CF09A45A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DE4"/>
    <w:rPr>
      <w:color w:val="0563C1" w:themeColor="hyperlink"/>
      <w:u w:val="single"/>
    </w:rPr>
  </w:style>
  <w:style w:type="paragraph" w:styleId="ListParagraph">
    <w:name w:val="List Paragraph"/>
    <w:basedOn w:val="Normal"/>
    <w:uiPriority w:val="34"/>
    <w:qFormat/>
    <w:rsid w:val="00090612"/>
    <w:pPr>
      <w:ind w:left="720"/>
      <w:contextualSpacing/>
    </w:pPr>
  </w:style>
  <w:style w:type="paragraph" w:styleId="FootnoteText">
    <w:name w:val="footnote text"/>
    <w:basedOn w:val="Normal"/>
    <w:link w:val="FootnoteTextChar"/>
    <w:uiPriority w:val="99"/>
    <w:semiHidden/>
    <w:unhideWhenUsed/>
    <w:rsid w:val="000658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5821"/>
    <w:rPr>
      <w:sz w:val="20"/>
      <w:szCs w:val="20"/>
    </w:rPr>
  </w:style>
  <w:style w:type="character" w:styleId="FootnoteReference">
    <w:name w:val="footnote reference"/>
    <w:basedOn w:val="DefaultParagraphFont"/>
    <w:uiPriority w:val="99"/>
    <w:semiHidden/>
    <w:unhideWhenUsed/>
    <w:rsid w:val="00065821"/>
    <w:rPr>
      <w:vertAlign w:val="superscript"/>
    </w:rPr>
  </w:style>
  <w:style w:type="paragraph" w:styleId="Header">
    <w:name w:val="header"/>
    <w:basedOn w:val="Normal"/>
    <w:link w:val="HeaderChar"/>
    <w:uiPriority w:val="99"/>
    <w:unhideWhenUsed/>
    <w:rsid w:val="00653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64"/>
  </w:style>
  <w:style w:type="paragraph" w:styleId="Footer">
    <w:name w:val="footer"/>
    <w:basedOn w:val="Normal"/>
    <w:link w:val="FooterChar"/>
    <w:uiPriority w:val="99"/>
    <w:unhideWhenUsed/>
    <w:rsid w:val="00653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64"/>
  </w:style>
  <w:style w:type="paragraph" w:styleId="BalloonText">
    <w:name w:val="Balloon Text"/>
    <w:basedOn w:val="Normal"/>
    <w:link w:val="BalloonTextChar"/>
    <w:uiPriority w:val="99"/>
    <w:semiHidden/>
    <w:unhideWhenUsed/>
    <w:rsid w:val="003A3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094"/>
    <w:rPr>
      <w:rFonts w:ascii="Segoe UI" w:hAnsi="Segoe UI" w:cs="Segoe UI"/>
      <w:sz w:val="18"/>
      <w:szCs w:val="18"/>
    </w:rPr>
  </w:style>
  <w:style w:type="character" w:styleId="FollowedHyperlink">
    <w:name w:val="FollowedHyperlink"/>
    <w:basedOn w:val="DefaultParagraphFont"/>
    <w:uiPriority w:val="99"/>
    <w:semiHidden/>
    <w:unhideWhenUsed/>
    <w:rsid w:val="00D162A1"/>
    <w:rPr>
      <w:color w:val="954F72" w:themeColor="followedHyperlink"/>
      <w:u w:val="single"/>
    </w:rPr>
  </w:style>
  <w:style w:type="paragraph" w:customStyle="1" w:styleId="Default">
    <w:name w:val="Default"/>
    <w:rsid w:val="00D162A1"/>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C72019"/>
    <w:rPr>
      <w:sz w:val="16"/>
      <w:szCs w:val="16"/>
    </w:rPr>
  </w:style>
  <w:style w:type="paragraph" w:styleId="CommentText">
    <w:name w:val="annotation text"/>
    <w:basedOn w:val="Normal"/>
    <w:link w:val="CommentTextChar"/>
    <w:uiPriority w:val="99"/>
    <w:semiHidden/>
    <w:unhideWhenUsed/>
    <w:rsid w:val="00C72019"/>
    <w:pPr>
      <w:spacing w:line="240" w:lineRule="auto"/>
    </w:pPr>
    <w:rPr>
      <w:sz w:val="20"/>
      <w:szCs w:val="20"/>
    </w:rPr>
  </w:style>
  <w:style w:type="character" w:customStyle="1" w:styleId="CommentTextChar">
    <w:name w:val="Comment Text Char"/>
    <w:basedOn w:val="DefaultParagraphFont"/>
    <w:link w:val="CommentText"/>
    <w:uiPriority w:val="99"/>
    <w:semiHidden/>
    <w:rsid w:val="00C72019"/>
    <w:rPr>
      <w:sz w:val="20"/>
      <w:szCs w:val="20"/>
    </w:rPr>
  </w:style>
  <w:style w:type="paragraph" w:styleId="CommentSubject">
    <w:name w:val="annotation subject"/>
    <w:basedOn w:val="CommentText"/>
    <w:next w:val="CommentText"/>
    <w:link w:val="CommentSubjectChar"/>
    <w:uiPriority w:val="99"/>
    <w:semiHidden/>
    <w:unhideWhenUsed/>
    <w:rsid w:val="00C72019"/>
    <w:rPr>
      <w:b/>
      <w:bCs/>
    </w:rPr>
  </w:style>
  <w:style w:type="character" w:customStyle="1" w:styleId="CommentSubjectChar">
    <w:name w:val="Comment Subject Char"/>
    <w:basedOn w:val="CommentTextChar"/>
    <w:link w:val="CommentSubject"/>
    <w:uiPriority w:val="99"/>
    <w:semiHidden/>
    <w:rsid w:val="00C720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A7239-B32E-4D71-ADBD-ED58BB06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501</Words>
  <Characters>2862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Long</dc:creator>
  <cp:keywords/>
  <dc:description/>
  <cp:lastModifiedBy>Louise Malik LSP</cp:lastModifiedBy>
  <cp:revision>2</cp:revision>
  <cp:lastPrinted>2015-10-19T09:58:00Z</cp:lastPrinted>
  <dcterms:created xsi:type="dcterms:W3CDTF">2019-02-13T16:58:00Z</dcterms:created>
  <dcterms:modified xsi:type="dcterms:W3CDTF">2019-02-13T16:58:00Z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